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92"/>
        <w:gridCol w:w="3943"/>
        <w:gridCol w:w="2953"/>
        <w:tblGridChange w:id="0">
          <w:tblGrid>
            <w:gridCol w:w="1592"/>
            <w:gridCol w:w="3943"/>
            <w:gridCol w:w="29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Qualidade do Projeto - Coerência do objeto, objetivos, justificativa e metas do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evidente os resultados que serão obtidos.</w:t>
            </w:r>
          </w:p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Relevância da ação proposta para o cenário cultural 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município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análise deverá considerar, para fins de avaliação e valoração, se a ação contr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ibui para o enriquecimento e valorização da cultura 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município.</w:t>
            </w:r>
          </w:p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Aspectos de integração comunitária na ação proposta pelo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da planilha orçamentária e do cronograma de execução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nas metas, resultados e desdobramentos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</w:t>
            </w:r>
          </w:p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do Plano de Divulgação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Cronograma, Objetivos e Metas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e comunicacional com o público alvo do projeto, mediante as estratégias, mídias e materiais apresentados, bem como a capacidade de executá-los.</w:t>
            </w:r>
          </w:p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Trajetória artística e cultural do proponente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Será considerada,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para fins de análise, a carreira do proponente, com base no currículo e comprovações enviadas juntamente com a proposta.</w:t>
            </w:r>
          </w:p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 PONTOS</w:t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da pontuação acima, o proponente pode receber bônus de pontuação, ou seja, uma pontuação extra, conforme critérios abaixo especificados: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400"/>
      </w:tblPr>
      <w:tblGrid>
        <w:gridCol w:w="1717"/>
        <w:gridCol w:w="3442"/>
        <w:gridCol w:w="3867"/>
        <w:tblGridChange w:id="0">
          <w:tblGrid>
            <w:gridCol w:w="1717"/>
            <w:gridCol w:w="3442"/>
            <w:gridCol w:w="38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do gênero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negros e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residentes em regiões de menor IDH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Layout w:type="fixed"/>
        <w:tblLook w:val="0400"/>
      </w:tblPr>
      <w:tblGrid>
        <w:gridCol w:w="1584"/>
        <w:gridCol w:w="3960"/>
        <w:gridCol w:w="3482"/>
        <w:tblGridChange w:id="0">
          <w:tblGrid>
            <w:gridCol w:w="1584"/>
            <w:gridCol w:w="3960"/>
            <w:gridCol w:w="34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PARA PROPONENTES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negras ou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compostas majoritariamente por mulheres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sediadas em regiões de menor IDH ou coletivos/grupos pertencentes a regiões de menor IDH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hd w:fill="ffffff" w:val="clear"/>
              <w:spacing w:after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 PONTOS</w:t>
            </w:r>
          </w:p>
        </w:tc>
      </w:tr>
    </w:tbl>
    <w:p w:rsidR="00000000" w:rsidDel="00000000" w:rsidP="00000000" w:rsidRDefault="00000000" w:rsidRPr="00000000" w14:paraId="00000069">
      <w:pPr>
        <w:spacing w:after="120" w:before="120" w:line="240" w:lineRule="auto"/>
        <w:ind w:right="1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critérios gerais são eliminatórios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modo que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agente cultural que receber pontuação 0 em algum dos critérios será desclassificado do Edital.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bônus de pontuação são cumulativos e não constituem critérios obrigatórios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modo que a pontuação 0 em algum dos pontos bônus não desclassifica o agente cultural.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Serão considerados aptos os projetos que receberem nota final igual ou superior a 40 pontos.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Serão desclassificados os projetos que: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- receberam nota 0 em qualquer dos critérios obrigatórios;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 - apresentem quaisquer formas de preconceito de origem, raça, etnia, gênero, cor, idade ou outras formas de discriminação, com fundamento no disposto no </w:t>
      </w:r>
      <w:hyperlink r:id="rId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cs="Calibri" w:eastAsia="Calibri" w:hAnsi="Calibri"/>
      <w:kern w:val="0"/>
      <w:sz w:val="22"/>
      <w:szCs w:val="22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GVLZdkJtufwNi58rYo3c+VyOQ==">CgMxLjA4AHIhMTRaUkJwSGx0R3JmMndTcHBHRE5oVmZKWDVuSmVMSkFX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2025-12-09T14:26:00Z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